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8171AD" w:rsidRDefault="00E5559B" w:rsidP="00E5559B">
      <w:pPr>
        <w:pStyle w:val="TEKSTZacznikido"/>
        <w:rPr>
          <w:rFonts w:ascii="Arial" w:hAnsi="Arial"/>
        </w:rPr>
      </w:pPr>
      <w:r w:rsidRPr="008171AD">
        <w:rPr>
          <w:rFonts w:ascii="Arial" w:hAnsi="Arial"/>
        </w:rPr>
        <w:t xml:space="preserve">Załącznik do rozporządzenia Ministra Rozwoju i Technologii z dnia </w:t>
      </w:r>
      <w:r w:rsidR="001078B8" w:rsidRPr="008171AD">
        <w:rPr>
          <w:rFonts w:ascii="Arial" w:hAnsi="Arial"/>
        </w:rPr>
        <w:t xml:space="preserve">20 grudnia 2021 r. </w:t>
      </w:r>
      <w:r w:rsidRPr="008171AD">
        <w:rPr>
          <w:rFonts w:ascii="Arial" w:hAnsi="Arial"/>
        </w:rPr>
        <w:t xml:space="preserve">(poz. </w:t>
      </w:r>
      <w:r w:rsidR="00453379" w:rsidRPr="008171AD">
        <w:rPr>
          <w:rFonts w:ascii="Arial" w:hAnsi="Arial"/>
        </w:rPr>
        <w:t>2462</w:t>
      </w:r>
      <w:r w:rsidRPr="008171AD">
        <w:rPr>
          <w:rFonts w:ascii="Arial" w:hAnsi="Arial"/>
        </w:rPr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FE756D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10A2826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FE756D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1D9317F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513D8C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7003DD5B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1553BC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513D8C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FE756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7E08E486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028AE00E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699FECAE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56ED3E33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513D8C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FE756D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FE756D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25ED5494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FE756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FE756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FE756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FE756D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FE756D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FE756D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541A4CCA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513D8C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09EFAACB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513D8C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738F5ECF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513D8C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35EF0146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513D8C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72FAC29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513D8C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FE756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FE756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FE756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7D4B6AE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513D8C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1A9959B3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56171A0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3DEC560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3CB6C1B5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7B9459A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32E6260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FE756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FE756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62E31E4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FE756D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FE756D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FE756D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98C3B90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13D8C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3A8FC10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7FDA2CF8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513D8C" w:rsidRPr="00513D8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39A908A9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FE756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FE756D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2BEDE8B6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513D8C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24D151F1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13D8C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BAD5BF1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13D8C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FE756D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FE756D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7C1F6B6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513D8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5A23F80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513D8C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8D9A80E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513D8C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FE756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FE756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FE756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FE756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FE756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94DE499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513D8C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3E2B9D8F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513D8C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32C90D22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513D8C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C2FE605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513D8C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FE756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FE756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FE756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FE756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BB71" w14:textId="77777777" w:rsidR="00FE756D" w:rsidRDefault="00FE756D" w:rsidP="005F02B9">
      <w:r>
        <w:separator/>
      </w:r>
    </w:p>
    <w:p w14:paraId="4121B172" w14:textId="77777777" w:rsidR="00FE756D" w:rsidRDefault="00FE756D" w:rsidP="005F02B9"/>
    <w:p w14:paraId="44A1429F" w14:textId="77777777" w:rsidR="00FE756D" w:rsidRDefault="00FE756D" w:rsidP="005F02B9"/>
    <w:p w14:paraId="7985B04A" w14:textId="77777777" w:rsidR="00FE756D" w:rsidRDefault="00FE756D"/>
  </w:endnote>
  <w:endnote w:type="continuationSeparator" w:id="0">
    <w:p w14:paraId="724FD240" w14:textId="77777777" w:rsidR="00FE756D" w:rsidRDefault="00FE756D" w:rsidP="005F02B9">
      <w:r>
        <w:continuationSeparator/>
      </w:r>
    </w:p>
    <w:p w14:paraId="7B41E8DE" w14:textId="77777777" w:rsidR="00FE756D" w:rsidRDefault="00FE756D" w:rsidP="005F02B9"/>
    <w:p w14:paraId="2A8F8429" w14:textId="77777777" w:rsidR="00FE756D" w:rsidRDefault="00FE756D" w:rsidP="005F02B9"/>
    <w:p w14:paraId="5ECDE7F1" w14:textId="77777777" w:rsidR="00FE756D" w:rsidRDefault="00FE756D"/>
  </w:endnote>
  <w:endnote w:type="continuationNotice" w:id="1">
    <w:p w14:paraId="10655E3B" w14:textId="77777777" w:rsidR="00FE756D" w:rsidRDefault="00FE756D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30FDBDD2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1167E660" w14:textId="59FDB67B" w:rsidR="00FE3FC4" w:rsidRDefault="00FE3FC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98CB54B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  <w:r w:rsidRPr="00FE3FC4">
        <w:rPr>
          <w:sz w:val="16"/>
          <w:szCs w:val="16"/>
        </w:rPr>
        <w:t>Opłacie skarbowej podlega dokonanie czynności urzędowej na wniosek o wydanie decyzji o ustaleniu warunków zabudowy / lokalizacji celu publicznego i wynosi 598 zł, z wyłączeniem wniosków składanych przez właścicieli i użytkowników wieczystych nieruchomości, której wniosek dotyczy.</w:t>
      </w:r>
    </w:p>
    <w:p w14:paraId="7613ADF9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C061E58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  <w:r w:rsidRPr="00FE3FC4">
        <w:rPr>
          <w:sz w:val="16"/>
          <w:szCs w:val="16"/>
        </w:rPr>
        <w:t>Obowiązek zapłaty opłaty skarbowej powstaje z chwilą składania wniosku.</w:t>
      </w:r>
    </w:p>
    <w:p w14:paraId="41C6FD98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9FB9227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  <w:r w:rsidRPr="00FE3FC4">
        <w:rPr>
          <w:sz w:val="16"/>
          <w:szCs w:val="16"/>
        </w:rPr>
        <w:t>Opłata skarbowa za pełnomocnictwo wynosi 17 zł (od każdego stosunku pełnomocnictwa).</w:t>
      </w:r>
    </w:p>
    <w:p w14:paraId="1322A528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326B1D8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  <w:r w:rsidRPr="00FE3FC4">
        <w:rPr>
          <w:sz w:val="16"/>
          <w:szCs w:val="16"/>
        </w:rPr>
        <w:t>Opłatę skarbową uiszcza się  na rachunek bankowy – BS Raszyn 65 8004 0002 2001 0000 0316 0001</w:t>
      </w:r>
    </w:p>
    <w:p w14:paraId="6E817BCA" w14:textId="77777777" w:rsidR="00FE3FC4" w:rsidRPr="00FE3FC4" w:rsidRDefault="00FE3FC4" w:rsidP="00FE3FC4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54E8311" w14:textId="7876E9CB" w:rsidR="00FE3FC4" w:rsidRDefault="00FE3FC4" w:rsidP="00FE3FC4">
      <w:pPr>
        <w:pStyle w:val="Tekstprzypisukocowego"/>
        <w:spacing w:before="0" w:after="0"/>
        <w:jc w:val="both"/>
      </w:pPr>
      <w:r w:rsidRPr="00FE3FC4">
        <w:rPr>
          <w:sz w:val="16"/>
          <w:szCs w:val="16"/>
        </w:rPr>
        <w:t>Potwierdzenie wniesienia opłaty skarbowej dołącza się do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75C3" w14:textId="77777777" w:rsidR="00FE756D" w:rsidRDefault="00FE756D" w:rsidP="005F02B9">
      <w:r>
        <w:separator/>
      </w:r>
    </w:p>
    <w:p w14:paraId="3BA87A34" w14:textId="77777777" w:rsidR="00FE756D" w:rsidRDefault="00FE756D" w:rsidP="005F02B9"/>
    <w:p w14:paraId="4964F7DA" w14:textId="77777777" w:rsidR="00FE756D" w:rsidRDefault="00FE756D" w:rsidP="005F02B9"/>
    <w:p w14:paraId="418553AA" w14:textId="77777777" w:rsidR="00FE756D" w:rsidRDefault="00FE756D"/>
  </w:footnote>
  <w:footnote w:type="continuationSeparator" w:id="0">
    <w:p w14:paraId="7781D84A" w14:textId="77777777" w:rsidR="00FE756D" w:rsidRDefault="00FE756D" w:rsidP="005F02B9">
      <w:r>
        <w:continuationSeparator/>
      </w:r>
    </w:p>
    <w:p w14:paraId="4B5398E6" w14:textId="77777777" w:rsidR="00FE756D" w:rsidRDefault="00FE756D" w:rsidP="005F02B9"/>
    <w:p w14:paraId="611D9FDF" w14:textId="77777777" w:rsidR="00FE756D" w:rsidRDefault="00FE756D" w:rsidP="005F02B9"/>
    <w:p w14:paraId="488B1291" w14:textId="77777777" w:rsidR="00FE756D" w:rsidRDefault="00FE756D"/>
  </w:footnote>
  <w:footnote w:type="continuationNotice" w:id="1">
    <w:p w14:paraId="26C4CF68" w14:textId="77777777" w:rsidR="00FE756D" w:rsidRDefault="00FE756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1879737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2" w16cid:durableId="2106026285">
    <w:abstractNumId w:val="3"/>
  </w:num>
  <w:num w:numId="3" w16cid:durableId="654992406">
    <w:abstractNumId w:val="4"/>
  </w:num>
  <w:num w:numId="4" w16cid:durableId="1881819882">
    <w:abstractNumId w:val="16"/>
  </w:num>
  <w:num w:numId="5" w16cid:durableId="1268197531">
    <w:abstractNumId w:val="32"/>
  </w:num>
  <w:num w:numId="6" w16cid:durableId="519703772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7" w16cid:durableId="1267230644">
    <w:abstractNumId w:val="12"/>
  </w:num>
  <w:num w:numId="8" w16cid:durableId="1042629704">
    <w:abstractNumId w:val="22"/>
  </w:num>
  <w:num w:numId="9" w16cid:durableId="1286043228">
    <w:abstractNumId w:val="30"/>
  </w:num>
  <w:num w:numId="10" w16cid:durableId="486165056">
    <w:abstractNumId w:val="5"/>
  </w:num>
  <w:num w:numId="11" w16cid:durableId="1621063951">
    <w:abstractNumId w:val="13"/>
  </w:num>
  <w:num w:numId="12" w16cid:durableId="737167715">
    <w:abstractNumId w:val="13"/>
    <w:lvlOverride w:ilvl="0">
      <w:startOverride w:val="1"/>
    </w:lvlOverride>
  </w:num>
  <w:num w:numId="13" w16cid:durableId="1272938225">
    <w:abstractNumId w:val="13"/>
    <w:lvlOverride w:ilvl="0">
      <w:startOverride w:val="1"/>
    </w:lvlOverride>
  </w:num>
  <w:num w:numId="14" w16cid:durableId="234047020">
    <w:abstractNumId w:val="19"/>
  </w:num>
  <w:num w:numId="15" w16cid:durableId="1768229013">
    <w:abstractNumId w:val="24"/>
  </w:num>
  <w:num w:numId="16" w16cid:durableId="2049718464">
    <w:abstractNumId w:val="33"/>
  </w:num>
  <w:num w:numId="17" w16cid:durableId="15015018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0338173">
    <w:abstractNumId w:val="33"/>
  </w:num>
  <w:num w:numId="19" w16cid:durableId="1156073018">
    <w:abstractNumId w:val="33"/>
  </w:num>
  <w:num w:numId="20" w16cid:durableId="169879619">
    <w:abstractNumId w:val="33"/>
  </w:num>
  <w:num w:numId="21" w16cid:durableId="1960212895">
    <w:abstractNumId w:val="33"/>
  </w:num>
  <w:num w:numId="22" w16cid:durableId="622342405">
    <w:abstractNumId w:val="27"/>
  </w:num>
  <w:num w:numId="23" w16cid:durableId="580257884">
    <w:abstractNumId w:val="33"/>
  </w:num>
  <w:num w:numId="24" w16cid:durableId="61872544">
    <w:abstractNumId w:val="33"/>
  </w:num>
  <w:num w:numId="25" w16cid:durableId="1003897283">
    <w:abstractNumId w:val="33"/>
  </w:num>
  <w:num w:numId="26" w16cid:durableId="664750979">
    <w:abstractNumId w:val="33"/>
  </w:num>
  <w:num w:numId="27" w16cid:durableId="1604846033">
    <w:abstractNumId w:val="33"/>
  </w:num>
  <w:num w:numId="28" w16cid:durableId="513157525">
    <w:abstractNumId w:val="33"/>
  </w:num>
  <w:num w:numId="29" w16cid:durableId="2044942459">
    <w:abstractNumId w:val="33"/>
  </w:num>
  <w:num w:numId="30" w16cid:durableId="2126457513">
    <w:abstractNumId w:val="20"/>
  </w:num>
  <w:num w:numId="31" w16cid:durableId="1088384670">
    <w:abstractNumId w:val="33"/>
  </w:num>
  <w:num w:numId="32" w16cid:durableId="1165785305">
    <w:abstractNumId w:val="33"/>
  </w:num>
  <w:num w:numId="33" w16cid:durableId="148710911">
    <w:abstractNumId w:val="33"/>
  </w:num>
  <w:num w:numId="34" w16cid:durableId="1581403139">
    <w:abstractNumId w:val="33"/>
  </w:num>
  <w:num w:numId="35" w16cid:durableId="2101102957">
    <w:abstractNumId w:val="20"/>
  </w:num>
  <w:num w:numId="36" w16cid:durableId="415370321">
    <w:abstractNumId w:val="20"/>
  </w:num>
  <w:num w:numId="37" w16cid:durableId="1970696522">
    <w:abstractNumId w:val="20"/>
  </w:num>
  <w:num w:numId="38" w16cid:durableId="2053769527">
    <w:abstractNumId w:val="20"/>
  </w:num>
  <w:num w:numId="39" w16cid:durableId="106782809">
    <w:abstractNumId w:val="20"/>
  </w:num>
  <w:num w:numId="40" w16cid:durableId="409232202">
    <w:abstractNumId w:val="20"/>
  </w:num>
  <w:num w:numId="41" w16cid:durableId="150605749">
    <w:abstractNumId w:val="21"/>
  </w:num>
  <w:num w:numId="42" w16cid:durableId="986933481">
    <w:abstractNumId w:val="0"/>
  </w:num>
  <w:num w:numId="43" w16cid:durableId="1277717391">
    <w:abstractNumId w:val="2"/>
  </w:num>
  <w:num w:numId="44" w16cid:durableId="402945050">
    <w:abstractNumId w:val="36"/>
  </w:num>
  <w:num w:numId="45" w16cid:durableId="544752624">
    <w:abstractNumId w:val="0"/>
  </w:num>
  <w:num w:numId="46" w16cid:durableId="1694765027">
    <w:abstractNumId w:val="2"/>
  </w:num>
  <w:num w:numId="47" w16cid:durableId="1570309951">
    <w:abstractNumId w:val="2"/>
  </w:num>
  <w:num w:numId="48" w16cid:durableId="647631581">
    <w:abstractNumId w:val="0"/>
  </w:num>
  <w:num w:numId="49" w16cid:durableId="1797138254">
    <w:abstractNumId w:val="37"/>
  </w:num>
  <w:num w:numId="50" w16cid:durableId="99381266">
    <w:abstractNumId w:val="31"/>
  </w:num>
  <w:num w:numId="51" w16cid:durableId="1034043074">
    <w:abstractNumId w:val="11"/>
  </w:num>
  <w:num w:numId="52" w16cid:durableId="1961035175">
    <w:abstractNumId w:val="14"/>
  </w:num>
  <w:num w:numId="53" w16cid:durableId="2081050594">
    <w:abstractNumId w:val="29"/>
  </w:num>
  <w:num w:numId="54" w16cid:durableId="176966967">
    <w:abstractNumId w:val="14"/>
  </w:num>
  <w:num w:numId="55" w16cid:durableId="1689989312">
    <w:abstractNumId w:val="6"/>
  </w:num>
  <w:num w:numId="56" w16cid:durableId="2082169668">
    <w:abstractNumId w:val="14"/>
  </w:num>
  <w:num w:numId="57" w16cid:durableId="1924411808">
    <w:abstractNumId w:val="2"/>
  </w:num>
  <w:num w:numId="58" w16cid:durableId="1630085994">
    <w:abstractNumId w:val="28"/>
  </w:num>
  <w:num w:numId="59" w16cid:durableId="357050292">
    <w:abstractNumId w:val="14"/>
  </w:num>
  <w:num w:numId="60" w16cid:durableId="1411386534">
    <w:abstractNumId w:val="14"/>
  </w:num>
  <w:num w:numId="61" w16cid:durableId="49351572">
    <w:abstractNumId w:val="14"/>
  </w:num>
  <w:num w:numId="62" w16cid:durableId="1170947975">
    <w:abstractNumId w:val="6"/>
  </w:num>
  <w:num w:numId="63" w16cid:durableId="2034839084">
    <w:abstractNumId w:val="9"/>
  </w:num>
  <w:num w:numId="64" w16cid:durableId="1162311307">
    <w:abstractNumId w:val="23"/>
  </w:num>
  <w:num w:numId="65" w16cid:durableId="1974212427">
    <w:abstractNumId w:val="7"/>
  </w:num>
  <w:num w:numId="66" w16cid:durableId="2040086508">
    <w:abstractNumId w:val="1"/>
  </w:num>
  <w:num w:numId="67" w16cid:durableId="1648362619">
    <w:abstractNumId w:val="6"/>
  </w:num>
  <w:num w:numId="68" w16cid:durableId="108817835">
    <w:abstractNumId w:val="6"/>
  </w:num>
  <w:num w:numId="69" w16cid:durableId="765540163">
    <w:abstractNumId w:val="6"/>
  </w:num>
  <w:num w:numId="70" w16cid:durableId="1142382670">
    <w:abstractNumId w:val="1"/>
  </w:num>
  <w:num w:numId="71" w16cid:durableId="926773446">
    <w:abstractNumId w:val="1"/>
  </w:num>
  <w:num w:numId="72" w16cid:durableId="985666271">
    <w:abstractNumId w:val="1"/>
  </w:num>
  <w:num w:numId="73" w16cid:durableId="1102338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91915240">
    <w:abstractNumId w:val="17"/>
  </w:num>
  <w:num w:numId="75" w16cid:durableId="997228377">
    <w:abstractNumId w:val="18"/>
  </w:num>
  <w:num w:numId="76" w16cid:durableId="1517697764">
    <w:abstractNumId w:val="18"/>
  </w:num>
  <w:num w:numId="77" w16cid:durableId="1046487335">
    <w:abstractNumId w:val="18"/>
  </w:num>
  <w:num w:numId="78" w16cid:durableId="409544019">
    <w:abstractNumId w:val="18"/>
  </w:num>
  <w:num w:numId="79" w16cid:durableId="1035277636">
    <w:abstractNumId w:val="18"/>
  </w:num>
  <w:num w:numId="80" w16cid:durableId="2035572433">
    <w:abstractNumId w:val="20"/>
  </w:num>
  <w:num w:numId="81" w16cid:durableId="1969163318">
    <w:abstractNumId w:val="6"/>
  </w:num>
  <w:num w:numId="82" w16cid:durableId="513303139">
    <w:abstractNumId w:val="34"/>
  </w:num>
  <w:num w:numId="83" w16cid:durableId="1164779586">
    <w:abstractNumId w:val="15"/>
  </w:num>
  <w:num w:numId="84" w16cid:durableId="870343989">
    <w:abstractNumId w:val="15"/>
  </w:num>
  <w:num w:numId="85" w16cid:durableId="487937861">
    <w:abstractNumId w:val="15"/>
  </w:num>
  <w:num w:numId="86" w16cid:durableId="1907296417">
    <w:abstractNumId w:val="20"/>
  </w:num>
  <w:num w:numId="87" w16cid:durableId="1781291582">
    <w:abstractNumId w:val="6"/>
  </w:num>
  <w:num w:numId="88" w16cid:durableId="1152403128">
    <w:abstractNumId w:val="26"/>
  </w:num>
  <w:num w:numId="89" w16cid:durableId="316806788">
    <w:abstractNumId w:val="8"/>
  </w:num>
  <w:num w:numId="90" w16cid:durableId="1268461582">
    <w:abstractNumId w:val="35"/>
  </w:num>
  <w:num w:numId="91" w16cid:durableId="875702463">
    <w:abstractNumId w:val="10"/>
  </w:num>
  <w:num w:numId="92" w16cid:durableId="189677363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4CF1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3D8C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5167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09C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171AD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452C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3FC4"/>
    <w:rsid w:val="00FE48A6"/>
    <w:rsid w:val="00FE5991"/>
    <w:rsid w:val="00FE6532"/>
    <w:rsid w:val="00FE756D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1AFED"/>
  <w15:docId w15:val="{DCE26D38-8736-4CD7-842D-40D237D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EBF1-D337-446C-8ABE-6F8D63F2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Niemiro</dc:creator>
  <cp:lastModifiedBy>Marcin Ciastoń</cp:lastModifiedBy>
  <cp:revision>6</cp:revision>
  <cp:lastPrinted>2022-06-02T13:51:00Z</cp:lastPrinted>
  <dcterms:created xsi:type="dcterms:W3CDTF">2022-02-17T15:07:00Z</dcterms:created>
  <dcterms:modified xsi:type="dcterms:W3CDTF">2022-06-02T13:51:00Z</dcterms:modified>
</cp:coreProperties>
</file>